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2017/32 vom 19. November 2018</w:t>
      </w:r>
    </w:p>
    <w:p>
      <w:r>
        <w:t>Sg Versicherungsgericht, 2018-11-19, DE</w:t>
      </w:r>
    </w:p>
    <w:p>
      <w:r>
        <w:rPr>
          <w:b/>
        </w:rPr>
        <w:t xml:space="preserve">Quelle: </w:t>
      </w:r>
      <w:r>
        <w:t>https://mcp.opencaselaw.ch/entscheid/sg_publikationen_AVI 2017_32</w:t>
      </w:r>
    </w:p>
    <w:p>
      <w:r>
        <w:t>FR: SG_VERSICHERUNGSGERICHT AVI 2017/32 du 19 novembre 2018</w:t>
      </w:r>
    </w:p>
    <w:p>
      <w:r>
        <w:t>IT: SG_VERSICHERUNGSGERICHT AVI 2017/32 del 19 novembre 2018</w:t>
      </w:r>
    </w:p>
    <w:p>
      <w:pPr>
        <w:pStyle w:val="Heading2"/>
      </w:pPr>
      <w:r>
        <w:t>Regeste</w:t>
      </w:r>
    </w:p>
    <w:p>
      <w:r>
        <w:t>Art. 51 AVIG, Art. 55 AVIG. Beschwerdeführer ist aufgrund seines Zuwartens während über sechseinhalb Monaten seiner Schadenminderungspflicht nicht rechtsgenüglich nachgekommen. Kein Anspruch auf Insolvenzentschädigung (Entscheid des Versicherungsgerichts des Kantons St. Gallen vom 19. November 2018, AVI 2017/32).</w:t>
      </w:r>
    </w:p>
    <w:p>
      <w:pPr>
        <w:pStyle w:val="Heading2"/>
      </w:pPr>
      <w:r>
        <w:t>Erwägungen</w:t>
      </w:r>
    </w:p>
    <w:p>
      <w:r>
        <w:rPr>
          <w:b/>
        </w:rPr>
        <w:t>E. 1</w:t>
      </w:r>
    </w:p>
    <w:p>
      <w:r>
        <w:t>1.1  Vorliegend wird dem Beschwerdeführer eine Verletzung der Schadenminderungspflicht vorgeworfen, weil er sich nicht in ausreichendem Masse um die Einforderung seiner Lohnausstände bemüht habe. Es ist daher zu prüfen, ob dieser Vorwurf zu Recht erfolgte oder ob ein Anspruch auf Insolvenzentschädigung gegeben ist. 1.2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die letzten vier Monate des Arbeitsverhältnisses vor der Konkurseröffnung sowie allenfalls Lohnforderungen für Arbeitsleistungen nach der Konkurseröffnung, für jeden Monat jedoch nur bis zum Höchstbetrag nach Art. 3 Abs. 2 AVIG (Art. 52 Abs. 1 Satz 1 AVIG). 1.3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 1.4  Die Bestimmung von Art. 55 Abs. 1 AVIG bezieht sich gemäss Wortlaut auf das Konkurs- und Pfändungsverfahren. Sie bildet jedoch Ausdruck der allgemeinen Schadenminderungspflicht, welche auch dann Platz greift, wenn das Arbeitsverhältnis vor der Konkurseröffnung aufgelöst wird (ARV 2010 Nr. 1 S. 48 E. 3.2; ARV 2007 Nr. 3 S. 50 E. 2.1).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20. Oktober 2010, 8C_534/2010, E. 3.1; Urteil des EVG vom 19. Oktober 2006, C 144/06, E. 3.1 mit Hinweisen). Das Ausmass der vorausgesetzten Schadenminderungspflicht richtet sich nach den Umständen des Einzelfalls (ARV 2007 Nr. 3 S. 51 E. 2.1; Urteil des Bundesgerichts vom 20. Oktober 2010, 8C_534/2010, E. 3.1). Es hat eine Gesamtbetrachtung der Bemühungen des Arbeitnehmers bzw. der Arbeitnehmerin Platz zu greifen (URS BURGHERR, Die Insolvenzentschädigung, Diss. Zürich 2004, S. 166). Dabei ist es ausreichend, wenn die arbeitnehmende Person zunächst unmissverständliche Zeichen (Mahnung, Einleiten der Betreibung usw.) setzt, aus denen die Ernsthaftigkeit ihrer Lohnforderung zu erkennen ist. Sie darf allerdings nicht untätig bleiben und zuwarten, bis der Arbeitgeber bzw. die Arbeitgeberin in Konkurs fällt (Urteil des EVG vom 15. Oktober 2001, C 194/01, E. 2b mit Hinweisen; BURGHERR, a.a.O., S. 166). 1.5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(Bundesgerichtsurteile vom 29. August 2011, 8C_61/2011, E. 4.2, und vom 23. Oktober 2009, 8C_682/2009, E. 4, veröffentlicht in ARV 2010 S. 46).</w:t>
      </w:r>
    </w:p>
    <w:p>
      <w:r>
        <w:rPr>
          <w:b/>
        </w:rPr>
        <w:t>E. 2</w:t>
      </w:r>
    </w:p>
    <w:p>
      <w:r>
        <w:t>2.1  Dem Beschwerdeführer wird für seine Untätigkeit während der Zeit vom 1. Januar 2014 bis 15. Juli 2014 eine Verletzung der Schadenminderungspflicht vorgeworfen. Insbesondere habe er in dieser Zeit seine Arbeitgeberin nie schriftlich aufgefordert, den ausstehenden Lohn vollständig zu bezahlen. Dadurch sei er der Schadenminderungspflicht nicht in genügendem Masse nachgekommen. 2.2  Der Beschwerdeführer nahm das Arbeitsverhältnis mit der Arbeitgeberin gemäss Arbeitsvertrag vom 27. November 2013 erstmals am 1. Dezember 2013 auf. Er wurde als Hilfsarbeiter bei einem monatlichen Bruttogehalt von Fr. 3‘950.-- eingestellt (act. G 5.1/140). Bereits im Dezember 2013, also im ersten Monat seiner Anstellung, erhielt er keinen Lohn ausbezahlt. Nach mehrfach (geltend gemachter) mündlicher Mahnung erhielt er von der Arbeitgeberin am 17. Februar 2014 (Valutadatum) eine Teilzahlung von Fr. 1‘500.--. Nachdem der Versicherte mangels Arbeit von Januar bis März 2014 nicht bei der Arbeitgeberin arbeiten konnte, nahm er im April 2014 die Tätigkeit dort wieder auf. In der Folge erhielt der Beschwerdeführer weder den ausstehenden Lohnanspruch für den Dezember 2013 noch wurden die laufenden Löhne ab April 2014 ausbezahlt. Gemäss eigenen Angaben habe der Beschwerdeführer beim Geschäftsführer seiner Arbeitgeberin mehrfach mündlich interveniert. Da ihm dieser mehrmals versprochen habe, den ausstehenden Lohn zu bezahlen, und da er schliesslich im Februar 2014 bereits eine Teilzahlung geleistet hatte, habe er weitergearbeitet. Zudem habe die damalige Arbeitgeberin meistens die Auslagen für das Mittagessen und auch für die stattgefundenen Pausen übernommen, wobei die Mittagsentschädigung gestützt auf den Landesmantelvertrag für das Schweizerische Bauhauptgewerbe (LMV) ein Teil des Arbeitsvertrages und somit geschuldet gewesen sei. Weiter habe er den Worten des Geschäftsführers Glauben geschenkt, da er diesen gekannt habe und beide aus der gleichen Gegend stammen würden (vgl. act. G 1, S. 7 f.). Erst am 15. Juli 2014 forderte der Beschwerdeführer seine Arbeitgeberin schriftlich auf, die ausstehenden Löhne innert zehn Tagen zu überweisen, und verweigerte bis auf weiteres die Arbeit (act. G 5.1/109). Mit diesem langen Zuwarten während sechseinhalb Monaten seit dem ausstehenden Dezemberlohn 2013 und zweieinhalb Monaten seit dem ausstehenden Aprillohn 2014 kam er seiner Schadenminderungspflicht nicht in genügendem Masse nach. Nachdem der Beschwerdeführer bereits im ersten Monat seines Arbeitsverhältnisses mit der Arbeitgeberin nur einen Teil seines Lohnes, und auch diesen nur auf wiederholtes Nachfragen mit erheblicher Verspätung erhielt, konnte er auch in der Folge nicht mehr gutgläubig davon ausgehen, dass die Arbeitgeberin ihren angeblichen Versprechungen nachkommen würde. Dass er und der Geschäftsführer der Arbeitgeberin aus der gleichen Gegend stammen und sich kennen, ist diesbezüglich nicht relevant. Auch daraus, dass die Arbeitgeberin „meistens“ die Auslagen für das Mittagessen übernommen habe, kann der Beschwerdeführer nichts zu seinen Gunsten ableiten, da es sich diesbezüglich im Vergleich zu den ausstehenden Lohnzahlungen lediglich um marginale Beträge handelt. Aus der einmaligen Zahlung von Fr. 1‘500.-- im Februar 2014 konnte er ebenso wenig darauf schliessen, dass weitere Zahlungen erfolgen würden. Entsprechende Zusicherungen seitens der Arbeitgeberin sind nicht ausgewiesen. Da es sich zudem um ein neues Arbeitsverhältnis handelte, bei welchem ab dem ersten Monat die Lohnzahlungen mit Ausnahme einer Teilzahlung nicht erfolgt sind, gab es auch keinen besonderen Anlass, auf die angeblichen Zusicherungen der Arbeitgeberin zu vertrauen. Insgesamt hat der Beschwerdeführer im Sinne der angeführten Rechtsprechung die Schadenminderungspflicht in einer Weise verletzt, dass der Anspruch auf eine Insolvenzentschädigung verneint werden muss. Somit ist die verfügte Leistungsverweigerung nicht zu beanstanden.</w:t>
      </w:r>
    </w:p>
    <w:p>
      <w:r>
        <w:rPr>
          <w:b/>
        </w:rPr>
        <w:t>E. 3</w:t>
      </w:r>
    </w:p>
    <w:p>
      <w:r>
        <w:t>3.1  Zu prüfen bleibt die Frage der unentgeltlichen Rechtsverbeiständung im Verwaltungs- bzw. im Einspracheverfahren. 3.2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3.3  Der gesuchstellenden Person wird im Sozialversicherungsverfahren ein unentgeltlicher Rechtsbeistand bewilligt, wo die Verhältnisse es erfordern (Art. 37 Abs. 4 des Bundesgesetzes über den Allgemeinen Teil des Sozialversicherungsrechts [ATSG; SR 830.1]). Rechtsprechungsgemäss besteht im Einspracheverfahren, welches Elemente eines streitigen Verfahrens aufweist, ein Anspruch auf unentgeltliche Verbeiständung, soweit die Voraussetzungen der Bedürftigkeit der Partei, der fehlenden Aussichtslosigkeit der Rechtsbegehren und die sachliche Gebotenheit im konkreten Fall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und wenn auch eine Verbeiständung durch Verbandsvertreter, Fürsorger oder andere Fach- und Vertrauensleute sozialer Institutionen nicht in Betracht fällt.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(Urteil des Bundesgerichts vom 10. April 2015, 8C_48/2015, E. 2.2 mit Hinweisen). 3.4  Im vorliegenden Fall handelte es sich bezüglich des Gesuchs um Insolvenzentschädigung um einen klaren, im Wesentlichen unbestrittenen Sachverhalt, welcher überdies auch im Entscheid des Kreisgerichts C.___ vom 10. Mai 2016 zu einem grossen Teil festgehalten wurde (vgl. act. G 5.1/110 ff.). Es wäre dem Beschwerdeführer ohne weiteres zumutbar gewesen, den Sachverhalt ohne die Unterstützung seines Rechtsvertreters anzugeben und die entsprechenden Unterlagen dazu einzureichen. Weiter sind auch weder eine besondere Komplexität der Rechtsfragen oder besondere Eigenheiten der anwendbaren Verfahrensvorschriften zu erkennen, die eine Rechtsverbeiständung bereits im Verwaltungs- bzw. im Einspracheverfahren notwendig gemacht hätten. Somit mangelt es insgesamt an der sachlichen Gebotenheit der unentgeltlichen anwaltlichen Verbeiständung, an welche in diesem Verfahrensstadium rechtsprechungsgemäss strenge Anforderungen zu stellen sind. Demnach ist die Abweisung des entsprechenden Gesuchs durch die Beschwerdegegnerin nicht zu beanstanden.</w:t>
      </w:r>
    </w:p>
    <w:p>
      <w:r>
        <w:rPr>
          <w:b/>
        </w:rPr>
        <w:t>E. 4</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